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B8" w:rsidRDefault="008565B8" w:rsidP="00CF1133">
      <w:pPr>
        <w:ind w:left="-710" w:firstLine="695"/>
        <w:rPr>
          <w:b/>
          <w:bCs/>
        </w:rPr>
      </w:pPr>
    </w:p>
    <w:p w:rsidR="00BE3AA8" w:rsidRDefault="00D619C4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  <w:bCs/>
        </w:rPr>
        <w:t>Lancashire Enterprise Partnership Limited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C3464A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292BA3" w:rsidP="00A3358A">
      <w:r>
        <w:t xml:space="preserve">Date: </w:t>
      </w:r>
      <w:r w:rsidR="00D619C4">
        <w:t>14</w:t>
      </w:r>
      <w:r w:rsidR="00D619C4" w:rsidRPr="00D619C4">
        <w:rPr>
          <w:vertAlign w:val="superscript"/>
        </w:rPr>
        <w:t>th</w:t>
      </w:r>
      <w:r w:rsidR="00D619C4">
        <w:t xml:space="preserve"> June 2016</w:t>
      </w:r>
    </w:p>
    <w:p w:rsidR="00A3358A" w:rsidRDefault="00A3358A" w:rsidP="00A3358A"/>
    <w:p w:rsidR="00A3358A" w:rsidRDefault="00D6657D" w:rsidP="00A3358A">
      <w:pPr>
        <w:rPr>
          <w:b/>
        </w:rPr>
      </w:pPr>
      <w:bookmarkStart w:id="0" w:name="_GoBack"/>
      <w:r>
        <w:rPr>
          <w:b/>
        </w:rPr>
        <w:t>LEP Assurance Framework Update</w:t>
      </w:r>
      <w:r w:rsidR="007A68D6">
        <w:rPr>
          <w:b/>
        </w:rPr>
        <w:t xml:space="preserve"> 2016/17</w:t>
      </w:r>
    </w:p>
    <w:bookmarkEnd w:id="0"/>
    <w:p w:rsidR="00292BA3" w:rsidRPr="00292BA3" w:rsidRDefault="00292BA3" w:rsidP="00A3358A">
      <w:pPr>
        <w:rPr>
          <w:rFonts w:eastAsia="Times New Roman" w:cs="Times New Roman"/>
          <w:color w:val="auto"/>
          <w:szCs w:val="20"/>
        </w:rPr>
      </w:pPr>
      <w:r w:rsidRPr="00292BA3">
        <w:t>(Appendix 'A' refers)</w:t>
      </w:r>
    </w:p>
    <w:p w:rsidR="00CA2875" w:rsidRDefault="00CA2875" w:rsidP="00CF1133">
      <w:pPr>
        <w:spacing w:after="0" w:line="256" w:lineRule="auto"/>
        <w:ind w:left="0" w:firstLine="0"/>
      </w:pPr>
    </w:p>
    <w:p w:rsidR="00CF1133" w:rsidRDefault="00F41096" w:rsidP="00292BA3">
      <w:pPr>
        <w:ind w:left="0" w:right="-873" w:firstLine="0"/>
      </w:pPr>
      <w:r w:rsidRPr="00F41096">
        <w:rPr>
          <w:b/>
        </w:rPr>
        <w:t>Report Author</w:t>
      </w:r>
      <w:r w:rsidRPr="00CA2875">
        <w:t xml:space="preserve">: </w:t>
      </w:r>
      <w:r w:rsidR="00EA240E" w:rsidRPr="00CA2875">
        <w:t>Kathryn Molloy</w:t>
      </w:r>
      <w:r w:rsidRPr="00CA2875">
        <w:t xml:space="preserve">, </w:t>
      </w:r>
      <w:r w:rsidR="00292BA3">
        <w:t xml:space="preserve">Head of Service LEP Coordination, Lancashire County Council, </w:t>
      </w:r>
      <w:r w:rsidR="00EA240E" w:rsidRPr="00CA2875">
        <w:t>01772 538790</w:t>
      </w:r>
      <w:r w:rsidRPr="00CA2875">
        <w:t xml:space="preserve">, </w:t>
      </w:r>
      <w:hyperlink r:id="rId8" w:history="1">
        <w:r w:rsidR="00CA2875" w:rsidRPr="0064456C">
          <w:rPr>
            <w:rStyle w:val="Hyperlink"/>
          </w:rPr>
          <w:t>kathryn.molloy@lancashire.gov.uk</w:t>
        </w:r>
      </w:hyperlink>
    </w:p>
    <w:p w:rsidR="002B3CC5" w:rsidRDefault="002B3CC5" w:rsidP="002B3CC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B3CC5" w:rsidTr="000C3037">
        <w:trPr>
          <w:trHeight w:val="1266"/>
        </w:trPr>
        <w:tc>
          <w:tcPr>
            <w:tcW w:w="9180" w:type="dxa"/>
          </w:tcPr>
          <w:p w:rsidR="002B3CC5" w:rsidRDefault="002B3CC5" w:rsidP="00841251">
            <w:pPr>
              <w:pStyle w:val="Header"/>
            </w:pPr>
          </w:p>
          <w:p w:rsidR="002B3CC5" w:rsidRPr="002B3CC5" w:rsidRDefault="002B3CC5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2B3CC5" w:rsidP="00841251">
            <w:pPr>
              <w:rPr>
                <w:color w:val="auto"/>
              </w:rPr>
            </w:pPr>
          </w:p>
          <w:p w:rsidR="00CA2875" w:rsidRDefault="00FC4E3E" w:rsidP="00CA2875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At the meeting of the Lancashire Enterprise Partnership on the 5</w:t>
            </w:r>
            <w:r w:rsidRPr="00FC4E3E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April, the Board agreed that a formal annual review of the LEP's Assurance Framework would be undertaken by the Board in June of each year.</w:t>
            </w:r>
          </w:p>
          <w:p w:rsidR="00C3464A" w:rsidRDefault="00C3464A" w:rsidP="00CA2875">
            <w:pPr>
              <w:ind w:left="0" w:firstLine="0"/>
              <w:rPr>
                <w:color w:val="auto"/>
              </w:rPr>
            </w:pPr>
          </w:p>
          <w:p w:rsidR="00C3464A" w:rsidRDefault="00C3464A" w:rsidP="00CA2875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This review has been undertaken and is attached at Appendix </w:t>
            </w:r>
            <w:r w:rsidR="008919FF">
              <w:rPr>
                <w:color w:val="auto"/>
              </w:rPr>
              <w:t>'A' to this report, for ease of reference all changes have been tracked, subject to LEP Board approval, the tracked changes will be accepted and removed from the final version.</w:t>
            </w:r>
          </w:p>
          <w:p w:rsidR="00FC4E3E" w:rsidRDefault="00FC4E3E" w:rsidP="00CA2875">
            <w:pPr>
              <w:ind w:left="0" w:firstLine="0"/>
              <w:rPr>
                <w:color w:val="auto"/>
              </w:rPr>
            </w:pPr>
          </w:p>
          <w:p w:rsidR="00CA2875" w:rsidRDefault="00815A73" w:rsidP="00CA2875">
            <w:pPr>
              <w:ind w:left="0" w:firstLine="0"/>
              <w:rPr>
                <w:b/>
                <w:color w:val="auto"/>
              </w:rPr>
            </w:pPr>
            <w:r w:rsidRPr="002B3CC5">
              <w:rPr>
                <w:b/>
                <w:color w:val="auto"/>
              </w:rPr>
              <w:t>Recommendation</w:t>
            </w:r>
            <w:r w:rsidR="001048DD">
              <w:rPr>
                <w:b/>
                <w:color w:val="auto"/>
              </w:rPr>
              <w:t>s</w:t>
            </w:r>
          </w:p>
          <w:p w:rsidR="00CA2875" w:rsidRDefault="00CA2875" w:rsidP="00CA2875">
            <w:pPr>
              <w:ind w:left="0" w:firstLine="0"/>
              <w:rPr>
                <w:b/>
                <w:color w:val="auto"/>
              </w:rPr>
            </w:pPr>
          </w:p>
          <w:p w:rsidR="001048DD" w:rsidRDefault="00292BA3" w:rsidP="00292BA3">
            <w:pPr>
              <w:ind w:left="0" w:firstLine="0"/>
            </w:pPr>
            <w:r>
              <w:t>The LEP Board is asked to n</w:t>
            </w:r>
            <w:r w:rsidR="001048DD">
              <w:t>ote the contents of this report</w:t>
            </w:r>
            <w:r w:rsidR="00A46578">
              <w:t xml:space="preserve"> and approve the revised Assurance Framework</w:t>
            </w:r>
            <w:r>
              <w:t xml:space="preserve"> attached at Appendix 'A'</w:t>
            </w:r>
            <w:r w:rsidR="00A46578">
              <w:t>.</w:t>
            </w:r>
          </w:p>
          <w:p w:rsidR="002B3CC5" w:rsidRPr="00F02462" w:rsidRDefault="002B3CC5" w:rsidP="00A46578">
            <w:pPr>
              <w:spacing w:line="240" w:lineRule="auto"/>
              <w:ind w:left="589" w:hanging="589"/>
              <w:rPr>
                <w:color w:val="auto"/>
              </w:rPr>
            </w:pPr>
          </w:p>
        </w:tc>
      </w:tr>
    </w:tbl>
    <w:p w:rsidR="002B3CC5" w:rsidRDefault="002B3CC5" w:rsidP="002B3CC5">
      <w:pPr>
        <w:pStyle w:val="Header"/>
      </w:pPr>
    </w:p>
    <w:p w:rsidR="00A3358A" w:rsidRDefault="00EC4AA3" w:rsidP="00AE3EF5">
      <w:pPr>
        <w:ind w:left="0" w:firstLine="0"/>
        <w:rPr>
          <w:b/>
        </w:rPr>
      </w:pPr>
      <w:r>
        <w:rPr>
          <w:b/>
        </w:rPr>
        <w:t>Background and Advice</w:t>
      </w:r>
    </w:p>
    <w:p w:rsidR="00B331BE" w:rsidRDefault="00B331BE" w:rsidP="00AE3EF5">
      <w:pPr>
        <w:ind w:left="0" w:firstLine="0"/>
        <w:rPr>
          <w:b/>
        </w:rPr>
      </w:pPr>
    </w:p>
    <w:p w:rsidR="00917363" w:rsidRPr="00DA3690" w:rsidRDefault="00C3464A" w:rsidP="006001A9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b/>
        </w:rPr>
      </w:pPr>
      <w:r>
        <w:rPr>
          <w:b/>
        </w:rPr>
        <w:t>Assurance Framework Review</w:t>
      </w:r>
    </w:p>
    <w:p w:rsidR="00917363" w:rsidRDefault="00917363" w:rsidP="006001A9">
      <w:pPr>
        <w:spacing w:line="240" w:lineRule="auto"/>
        <w:ind w:left="567" w:hanging="567"/>
      </w:pPr>
    </w:p>
    <w:p w:rsidR="00D619C4" w:rsidRDefault="00C3464A" w:rsidP="0080695A">
      <w:pPr>
        <w:pStyle w:val="ListParagraph"/>
        <w:numPr>
          <w:ilvl w:val="1"/>
          <w:numId w:val="12"/>
        </w:numPr>
        <w:spacing w:line="240" w:lineRule="auto"/>
        <w:ind w:left="567" w:hanging="567"/>
        <w:rPr>
          <w:color w:val="auto"/>
        </w:rPr>
      </w:pPr>
      <w:r>
        <w:rPr>
          <w:color w:val="auto"/>
        </w:rPr>
        <w:t xml:space="preserve">County Council officers have undertaken a review of the Assurance Framework and have updated the document as necessary, with a particular focus on </w:t>
      </w:r>
      <w:proofErr w:type="gramStart"/>
      <w:r>
        <w:rPr>
          <w:color w:val="auto"/>
        </w:rPr>
        <w:t>ensuring</w:t>
      </w:r>
      <w:proofErr w:type="gramEnd"/>
      <w:r>
        <w:rPr>
          <w:color w:val="auto"/>
        </w:rPr>
        <w:t xml:space="preserve"> those LEP Sub-Committees established since the production of the original Assurance Framework have been included.</w:t>
      </w:r>
    </w:p>
    <w:p w:rsidR="001048DD" w:rsidRDefault="001048DD" w:rsidP="001048DD">
      <w:pPr>
        <w:pStyle w:val="ListParagraph"/>
        <w:spacing w:line="240" w:lineRule="auto"/>
        <w:ind w:left="567" w:firstLine="0"/>
        <w:rPr>
          <w:color w:val="auto"/>
        </w:rPr>
      </w:pPr>
    </w:p>
    <w:p w:rsidR="00D619C4" w:rsidRPr="00D619C4" w:rsidRDefault="00C3464A" w:rsidP="0080695A">
      <w:pPr>
        <w:pStyle w:val="ListParagraph"/>
        <w:numPr>
          <w:ilvl w:val="1"/>
          <w:numId w:val="12"/>
        </w:numPr>
        <w:spacing w:line="240" w:lineRule="auto"/>
        <w:ind w:left="567" w:hanging="567"/>
        <w:rPr>
          <w:color w:val="auto"/>
        </w:rPr>
      </w:pPr>
      <w:r>
        <w:rPr>
          <w:color w:val="auto"/>
        </w:rPr>
        <w:t>The revised Assurance Fra</w:t>
      </w:r>
      <w:r w:rsidR="00292BA3">
        <w:rPr>
          <w:color w:val="auto"/>
        </w:rPr>
        <w:t>mework is attached at Appendix 'A'</w:t>
      </w:r>
      <w:r>
        <w:rPr>
          <w:color w:val="auto"/>
        </w:rPr>
        <w:t xml:space="preserve"> of this report and includes tracked changes for</w:t>
      </w:r>
      <w:r w:rsidR="00A46578">
        <w:rPr>
          <w:color w:val="auto"/>
        </w:rPr>
        <w:t xml:space="preserve"> Board</w:t>
      </w:r>
      <w:r>
        <w:rPr>
          <w:color w:val="auto"/>
        </w:rPr>
        <w:t xml:space="preserve"> Directors' ease of reference.</w:t>
      </w:r>
    </w:p>
    <w:p w:rsidR="00686389" w:rsidRDefault="00686389" w:rsidP="00686389">
      <w:pPr>
        <w:pStyle w:val="ListParagraph"/>
        <w:spacing w:line="240" w:lineRule="auto"/>
        <w:ind w:left="567" w:firstLine="0"/>
        <w:rPr>
          <w:color w:val="auto"/>
        </w:rPr>
      </w:pPr>
    </w:p>
    <w:p w:rsidR="001048DD" w:rsidRDefault="00A46578" w:rsidP="00634B11">
      <w:pPr>
        <w:pStyle w:val="ListParagraph"/>
        <w:numPr>
          <w:ilvl w:val="1"/>
          <w:numId w:val="12"/>
        </w:numPr>
        <w:spacing w:line="240" w:lineRule="auto"/>
        <w:ind w:left="567" w:hanging="567"/>
        <w:rPr>
          <w:color w:val="auto"/>
        </w:rPr>
      </w:pPr>
      <w:r>
        <w:rPr>
          <w:color w:val="auto"/>
        </w:rPr>
        <w:t>Board Directors are asked to note specifically the changes to the Enterprise Governance Committee's Terms of Reference which now reflects the 4 Enterprise Zone sites in Lancashire and also the change from the Shadow Implementation Board for Growth Deal which is now the Growth Deal Management Board.</w:t>
      </w:r>
    </w:p>
    <w:p w:rsidR="00A46578" w:rsidRPr="00A46578" w:rsidRDefault="00A46578" w:rsidP="00A46578">
      <w:pPr>
        <w:pStyle w:val="ListParagraph"/>
        <w:rPr>
          <w:color w:val="auto"/>
        </w:rPr>
      </w:pPr>
    </w:p>
    <w:p w:rsidR="00A46578" w:rsidRDefault="00A46578" w:rsidP="00634B11">
      <w:pPr>
        <w:pStyle w:val="ListParagraph"/>
        <w:numPr>
          <w:ilvl w:val="1"/>
          <w:numId w:val="12"/>
        </w:numPr>
        <w:spacing w:line="240" w:lineRule="auto"/>
        <w:ind w:left="567" w:hanging="567"/>
        <w:rPr>
          <w:color w:val="auto"/>
        </w:rPr>
      </w:pPr>
      <w:r>
        <w:rPr>
          <w:color w:val="auto"/>
        </w:rPr>
        <w:lastRenderedPageBreak/>
        <w:t xml:space="preserve">The Board is also asked to note </w:t>
      </w:r>
      <w:r w:rsidR="00292BA3">
        <w:rPr>
          <w:color w:val="auto"/>
        </w:rPr>
        <w:t xml:space="preserve">that since the original Assurance Framework was produced </w:t>
      </w:r>
      <w:r>
        <w:rPr>
          <w:color w:val="auto"/>
        </w:rPr>
        <w:t>the Performance Committee</w:t>
      </w:r>
      <w:r w:rsidR="00292BA3">
        <w:rPr>
          <w:color w:val="auto"/>
        </w:rPr>
        <w:t xml:space="preserve"> has been established</w:t>
      </w:r>
      <w:r>
        <w:rPr>
          <w:color w:val="auto"/>
        </w:rPr>
        <w:t xml:space="preserve"> which</w:t>
      </w:r>
      <w:r w:rsidR="00292BA3">
        <w:rPr>
          <w:color w:val="auto"/>
        </w:rPr>
        <w:t xml:space="preserve">, in addition, </w:t>
      </w:r>
      <w:r>
        <w:rPr>
          <w:color w:val="auto"/>
        </w:rPr>
        <w:t>has expanded membership to include the Chair of the LEP, Edwin Booth, and Mike Damms, LEP Board Director.</w:t>
      </w:r>
      <w:r w:rsidR="00292BA3">
        <w:rPr>
          <w:color w:val="auto"/>
        </w:rPr>
        <w:t xml:space="preserve">  These changes are included in the revised Assurance Framework attached at Appendix 'A'</w:t>
      </w:r>
    </w:p>
    <w:p w:rsidR="00A46578" w:rsidRPr="00A46578" w:rsidRDefault="00A46578" w:rsidP="00A46578">
      <w:pPr>
        <w:pStyle w:val="ListParagraph"/>
        <w:rPr>
          <w:color w:val="auto"/>
        </w:rPr>
      </w:pPr>
    </w:p>
    <w:p w:rsidR="00A46578" w:rsidRDefault="00A46578" w:rsidP="00634B11">
      <w:pPr>
        <w:pStyle w:val="ListParagraph"/>
        <w:numPr>
          <w:ilvl w:val="1"/>
          <w:numId w:val="12"/>
        </w:numPr>
        <w:spacing w:line="240" w:lineRule="auto"/>
        <w:ind w:left="567" w:hanging="567"/>
        <w:rPr>
          <w:color w:val="auto"/>
        </w:rPr>
      </w:pPr>
      <w:r>
        <w:rPr>
          <w:color w:val="auto"/>
        </w:rPr>
        <w:t>At the last meeting of the Performance Committee on the 24</w:t>
      </w:r>
      <w:r w:rsidRPr="00A46578">
        <w:rPr>
          <w:color w:val="auto"/>
          <w:vertAlign w:val="superscript"/>
        </w:rPr>
        <w:t>th</w:t>
      </w:r>
      <w:r>
        <w:rPr>
          <w:color w:val="auto"/>
        </w:rPr>
        <w:t xml:space="preserve"> May, the Chair, Richard Evans, agreed that a key focus of the Performance Committee would be the monitoring and evaluation of key LEP initiatives set in the context of the Assurance Framework.</w:t>
      </w:r>
    </w:p>
    <w:p w:rsidR="001048DD" w:rsidRPr="001048DD" w:rsidRDefault="001048DD" w:rsidP="001048DD">
      <w:pPr>
        <w:pStyle w:val="ListParagraph"/>
        <w:rPr>
          <w:color w:val="auto"/>
        </w:rPr>
      </w:pPr>
    </w:p>
    <w:sectPr w:rsidR="001048DD" w:rsidRPr="001048D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7C" w:rsidRDefault="00FC517C" w:rsidP="00CF1133">
      <w:pPr>
        <w:spacing w:after="0" w:line="240" w:lineRule="auto"/>
      </w:pPr>
      <w:r>
        <w:separator/>
      </w:r>
    </w:p>
  </w:endnote>
  <w:endnote w:type="continuationSeparator" w:id="0">
    <w:p w:rsidR="00FC517C" w:rsidRDefault="00FC517C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7C" w:rsidRDefault="00FC517C" w:rsidP="00CF1133">
      <w:pPr>
        <w:spacing w:after="0" w:line="240" w:lineRule="auto"/>
      </w:pPr>
      <w:r>
        <w:separator/>
      </w:r>
    </w:p>
  </w:footnote>
  <w:footnote w:type="continuationSeparator" w:id="0">
    <w:p w:rsidR="00FC517C" w:rsidRDefault="00FC517C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FAB"/>
    <w:multiLevelType w:val="hybridMultilevel"/>
    <w:tmpl w:val="4BB6E240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98F69D5"/>
    <w:multiLevelType w:val="hybridMultilevel"/>
    <w:tmpl w:val="9D58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F3A"/>
    <w:multiLevelType w:val="multilevel"/>
    <w:tmpl w:val="728CD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7D3E62"/>
    <w:multiLevelType w:val="hybridMultilevel"/>
    <w:tmpl w:val="CED8AB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565059A"/>
    <w:multiLevelType w:val="hybridMultilevel"/>
    <w:tmpl w:val="349CCF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E15A4E"/>
    <w:multiLevelType w:val="hybridMultilevel"/>
    <w:tmpl w:val="7D02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1B46"/>
    <w:multiLevelType w:val="hybridMultilevel"/>
    <w:tmpl w:val="06D6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9" w15:restartNumberingAfterBreak="0">
    <w:nsid w:val="36FD4FC9"/>
    <w:multiLevelType w:val="hybridMultilevel"/>
    <w:tmpl w:val="29E0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26F2D"/>
    <w:multiLevelType w:val="multilevel"/>
    <w:tmpl w:val="DC6214B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4179FC"/>
    <w:multiLevelType w:val="hybridMultilevel"/>
    <w:tmpl w:val="FAE6FBD2"/>
    <w:lvl w:ilvl="0" w:tplc="08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 w15:restartNumberingAfterBreak="0">
    <w:nsid w:val="477D50B5"/>
    <w:multiLevelType w:val="multilevel"/>
    <w:tmpl w:val="CDA49DE4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4" w15:restartNumberingAfterBreak="0">
    <w:nsid w:val="4EE60F86"/>
    <w:multiLevelType w:val="multilevel"/>
    <w:tmpl w:val="CDA49DE4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5" w15:restartNumberingAfterBreak="0">
    <w:nsid w:val="5B8544B0"/>
    <w:multiLevelType w:val="multilevel"/>
    <w:tmpl w:val="CD500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CF2A3E"/>
    <w:multiLevelType w:val="hybridMultilevel"/>
    <w:tmpl w:val="A156F2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F85CF3"/>
    <w:multiLevelType w:val="hybridMultilevel"/>
    <w:tmpl w:val="1C1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26474"/>
    <w:multiLevelType w:val="hybridMultilevel"/>
    <w:tmpl w:val="0D1E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393"/>
    <w:multiLevelType w:val="multilevel"/>
    <w:tmpl w:val="1A48AF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669D73C8"/>
    <w:multiLevelType w:val="hybridMultilevel"/>
    <w:tmpl w:val="33A808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412690"/>
    <w:multiLevelType w:val="hybridMultilevel"/>
    <w:tmpl w:val="4C4A0ED8"/>
    <w:lvl w:ilvl="0" w:tplc="72E88928">
      <w:start w:val="1"/>
      <w:numFmt w:val="bullet"/>
      <w:lvlText w:val="-"/>
      <w:lvlJc w:val="left"/>
      <w:pPr>
        <w:ind w:left="125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2" w15:restartNumberingAfterBreak="0">
    <w:nsid w:val="69E371BD"/>
    <w:multiLevelType w:val="hybridMultilevel"/>
    <w:tmpl w:val="60D6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9783C"/>
    <w:multiLevelType w:val="hybridMultilevel"/>
    <w:tmpl w:val="E66088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1870D33"/>
    <w:multiLevelType w:val="hybridMultilevel"/>
    <w:tmpl w:val="319EC6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0868A3"/>
    <w:multiLevelType w:val="hybridMultilevel"/>
    <w:tmpl w:val="BDC22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E2846"/>
    <w:multiLevelType w:val="multilevel"/>
    <w:tmpl w:val="CDA49DE4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7" w15:restartNumberingAfterBreak="0">
    <w:nsid w:val="78CA3D37"/>
    <w:multiLevelType w:val="hybridMultilevel"/>
    <w:tmpl w:val="2FE8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626DA"/>
    <w:multiLevelType w:val="multilevel"/>
    <w:tmpl w:val="A1FA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8"/>
  </w:num>
  <w:num w:numId="5">
    <w:abstractNumId w:val="0"/>
  </w:num>
  <w:num w:numId="6">
    <w:abstractNumId w:val="21"/>
  </w:num>
  <w:num w:numId="7">
    <w:abstractNumId w:val="16"/>
  </w:num>
  <w:num w:numId="8">
    <w:abstractNumId w:val="3"/>
  </w:num>
  <w:num w:numId="9">
    <w:abstractNumId w:val="5"/>
  </w:num>
  <w:num w:numId="10">
    <w:abstractNumId w:val="25"/>
  </w:num>
  <w:num w:numId="11">
    <w:abstractNumId w:val="10"/>
  </w:num>
  <w:num w:numId="12">
    <w:abstractNumId w:val="19"/>
  </w:num>
  <w:num w:numId="13">
    <w:abstractNumId w:val="23"/>
  </w:num>
  <w:num w:numId="14">
    <w:abstractNumId w:val="18"/>
  </w:num>
  <w:num w:numId="15">
    <w:abstractNumId w:val="6"/>
  </w:num>
  <w:num w:numId="16">
    <w:abstractNumId w:val="1"/>
  </w:num>
  <w:num w:numId="17">
    <w:abstractNumId w:val="27"/>
  </w:num>
  <w:num w:numId="18">
    <w:abstractNumId w:val="7"/>
  </w:num>
  <w:num w:numId="19">
    <w:abstractNumId w:val="20"/>
  </w:num>
  <w:num w:numId="20">
    <w:abstractNumId w:val="17"/>
  </w:num>
  <w:num w:numId="21">
    <w:abstractNumId w:val="22"/>
  </w:num>
  <w:num w:numId="22">
    <w:abstractNumId w:val="12"/>
  </w:num>
  <w:num w:numId="23">
    <w:abstractNumId w:val="11"/>
  </w:num>
  <w:num w:numId="24">
    <w:abstractNumId w:val="2"/>
  </w:num>
  <w:num w:numId="25">
    <w:abstractNumId w:val="15"/>
  </w:num>
  <w:num w:numId="26">
    <w:abstractNumId w:val="14"/>
  </w:num>
  <w:num w:numId="27">
    <w:abstractNumId w:val="26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02B1F"/>
    <w:rsid w:val="0001207E"/>
    <w:rsid w:val="00031656"/>
    <w:rsid w:val="00054AD9"/>
    <w:rsid w:val="00071862"/>
    <w:rsid w:val="00094697"/>
    <w:rsid w:val="000A0CA0"/>
    <w:rsid w:val="000C3037"/>
    <w:rsid w:val="000C500E"/>
    <w:rsid w:val="000D2752"/>
    <w:rsid w:val="000D2F92"/>
    <w:rsid w:val="000E4649"/>
    <w:rsid w:val="000F6DB4"/>
    <w:rsid w:val="001048DD"/>
    <w:rsid w:val="00106A5B"/>
    <w:rsid w:val="00113335"/>
    <w:rsid w:val="001178DF"/>
    <w:rsid w:val="00145322"/>
    <w:rsid w:val="001654DC"/>
    <w:rsid w:val="001F5AEF"/>
    <w:rsid w:val="00205851"/>
    <w:rsid w:val="002571F1"/>
    <w:rsid w:val="00264A9C"/>
    <w:rsid w:val="0027397D"/>
    <w:rsid w:val="00284E9F"/>
    <w:rsid w:val="00292BA3"/>
    <w:rsid w:val="002A1F27"/>
    <w:rsid w:val="002B03C6"/>
    <w:rsid w:val="002B3CC5"/>
    <w:rsid w:val="002B49F2"/>
    <w:rsid w:val="002D29EE"/>
    <w:rsid w:val="002E69BD"/>
    <w:rsid w:val="002F7E82"/>
    <w:rsid w:val="003061CD"/>
    <w:rsid w:val="00321E05"/>
    <w:rsid w:val="00331244"/>
    <w:rsid w:val="00343ECE"/>
    <w:rsid w:val="0035233C"/>
    <w:rsid w:val="00392FD5"/>
    <w:rsid w:val="00393907"/>
    <w:rsid w:val="003B18C2"/>
    <w:rsid w:val="003C36F0"/>
    <w:rsid w:val="004176B4"/>
    <w:rsid w:val="004221A6"/>
    <w:rsid w:val="00435A2B"/>
    <w:rsid w:val="004610CC"/>
    <w:rsid w:val="00487D93"/>
    <w:rsid w:val="004B41DA"/>
    <w:rsid w:val="004C79C9"/>
    <w:rsid w:val="005106C3"/>
    <w:rsid w:val="005206EF"/>
    <w:rsid w:val="00525EA1"/>
    <w:rsid w:val="00557F04"/>
    <w:rsid w:val="00584953"/>
    <w:rsid w:val="005D7059"/>
    <w:rsid w:val="005E17B2"/>
    <w:rsid w:val="005E6D06"/>
    <w:rsid w:val="006001A9"/>
    <w:rsid w:val="00634B11"/>
    <w:rsid w:val="0064351B"/>
    <w:rsid w:val="00656565"/>
    <w:rsid w:val="00661B5E"/>
    <w:rsid w:val="00662391"/>
    <w:rsid w:val="0067049C"/>
    <w:rsid w:val="00686389"/>
    <w:rsid w:val="006B566D"/>
    <w:rsid w:val="006C0636"/>
    <w:rsid w:val="007172B4"/>
    <w:rsid w:val="00724614"/>
    <w:rsid w:val="00727978"/>
    <w:rsid w:val="007A68D6"/>
    <w:rsid w:val="007A7CEE"/>
    <w:rsid w:val="007D5F5A"/>
    <w:rsid w:val="00815A73"/>
    <w:rsid w:val="00821E5E"/>
    <w:rsid w:val="008405CD"/>
    <w:rsid w:val="008565B8"/>
    <w:rsid w:val="00870C84"/>
    <w:rsid w:val="008919FF"/>
    <w:rsid w:val="008D5845"/>
    <w:rsid w:val="008D7B94"/>
    <w:rsid w:val="00900B2C"/>
    <w:rsid w:val="00917363"/>
    <w:rsid w:val="009237B4"/>
    <w:rsid w:val="00927383"/>
    <w:rsid w:val="0096218F"/>
    <w:rsid w:val="00963A98"/>
    <w:rsid w:val="009A203B"/>
    <w:rsid w:val="009A4E8B"/>
    <w:rsid w:val="009B21EA"/>
    <w:rsid w:val="00A32831"/>
    <w:rsid w:val="00A3358A"/>
    <w:rsid w:val="00A46578"/>
    <w:rsid w:val="00A64D2D"/>
    <w:rsid w:val="00A956D4"/>
    <w:rsid w:val="00AB07E0"/>
    <w:rsid w:val="00AE3EF5"/>
    <w:rsid w:val="00AF00AA"/>
    <w:rsid w:val="00B13ACE"/>
    <w:rsid w:val="00B25A7B"/>
    <w:rsid w:val="00B30A15"/>
    <w:rsid w:val="00B331BE"/>
    <w:rsid w:val="00B439EA"/>
    <w:rsid w:val="00B47B47"/>
    <w:rsid w:val="00B51BDD"/>
    <w:rsid w:val="00B53BF2"/>
    <w:rsid w:val="00B70CB6"/>
    <w:rsid w:val="00BB50C2"/>
    <w:rsid w:val="00BC4466"/>
    <w:rsid w:val="00BE3AA8"/>
    <w:rsid w:val="00C059E6"/>
    <w:rsid w:val="00C07338"/>
    <w:rsid w:val="00C3464A"/>
    <w:rsid w:val="00C52160"/>
    <w:rsid w:val="00C644A0"/>
    <w:rsid w:val="00CA2875"/>
    <w:rsid w:val="00CC10E5"/>
    <w:rsid w:val="00CD3B45"/>
    <w:rsid w:val="00CF1133"/>
    <w:rsid w:val="00CF5703"/>
    <w:rsid w:val="00D25D21"/>
    <w:rsid w:val="00D36A46"/>
    <w:rsid w:val="00D619C4"/>
    <w:rsid w:val="00D6657D"/>
    <w:rsid w:val="00D7480F"/>
    <w:rsid w:val="00D85386"/>
    <w:rsid w:val="00DA1290"/>
    <w:rsid w:val="00DC2F03"/>
    <w:rsid w:val="00E07CE4"/>
    <w:rsid w:val="00E10FFA"/>
    <w:rsid w:val="00E12210"/>
    <w:rsid w:val="00E368DA"/>
    <w:rsid w:val="00E45D7B"/>
    <w:rsid w:val="00E60319"/>
    <w:rsid w:val="00E615D0"/>
    <w:rsid w:val="00EA240E"/>
    <w:rsid w:val="00EC4AA3"/>
    <w:rsid w:val="00EE4D9E"/>
    <w:rsid w:val="00EE51BD"/>
    <w:rsid w:val="00EF01FE"/>
    <w:rsid w:val="00F01FE2"/>
    <w:rsid w:val="00F02462"/>
    <w:rsid w:val="00F06B1F"/>
    <w:rsid w:val="00F133A1"/>
    <w:rsid w:val="00F41096"/>
    <w:rsid w:val="00F45D72"/>
    <w:rsid w:val="00FC4E3E"/>
    <w:rsid w:val="00FC517C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28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48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8DD"/>
    <w:rPr>
      <w:rFonts w:ascii="Arial" w:eastAsia="Calibri" w:hAnsi="Arial" w:cs="Arial"/>
      <w:color w:val="000000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04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molloy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B483-5DA9-47DF-B571-00B43707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Milroy, Andy</cp:lastModifiedBy>
  <cp:revision>7</cp:revision>
  <dcterms:created xsi:type="dcterms:W3CDTF">2016-06-09T13:52:00Z</dcterms:created>
  <dcterms:modified xsi:type="dcterms:W3CDTF">2016-06-10T11:44:00Z</dcterms:modified>
</cp:coreProperties>
</file>